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9AD95" w14:textId="77777777" w:rsidR="00D632FE" w:rsidRDefault="00D632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4"/>
        <w:gridCol w:w="1985"/>
        <w:gridCol w:w="1842"/>
        <w:gridCol w:w="2127"/>
      </w:tblGrid>
      <w:tr w:rsidR="00FE6BAB" w14:paraId="54C806BF" w14:textId="77777777" w:rsidTr="00FE6BAB">
        <w:trPr>
          <w:trHeight w:val="1388"/>
        </w:trPr>
        <w:tc>
          <w:tcPr>
            <w:tcW w:w="3544" w:type="dxa"/>
          </w:tcPr>
          <w:p w14:paraId="3624EB78" w14:textId="097E381F" w:rsidR="00FE6BAB" w:rsidRDefault="00FE6BAB">
            <w:pPr>
              <w:keepNext/>
              <w:keepLines/>
              <w:tabs>
                <w:tab w:val="left" w:pos="1134"/>
              </w:tabs>
              <w:spacing w:line="276" w:lineRule="auto"/>
            </w:pPr>
            <w:r>
              <w:rPr>
                <w:b/>
              </w:rPr>
              <w:t xml:space="preserve">République du Burundi  </w:t>
            </w:r>
          </w:p>
          <w:p w14:paraId="416A393A" w14:textId="4A3BBE13" w:rsidR="00FE6BAB" w:rsidRDefault="00FE6BAB">
            <w:pPr>
              <w:spacing w:line="276" w:lineRule="auto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hidden="0" allowOverlap="1" wp14:anchorId="5AD341E5" wp14:editId="32D6314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161290</wp:posOffset>
                  </wp:positionV>
                  <wp:extent cx="822325" cy="786130"/>
                  <wp:effectExtent l="0" t="0" r="0" b="0"/>
                  <wp:wrapSquare wrapText="bothSides" distT="0" distB="0" distL="114300" distR="11430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786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vAlign w:val="bottom"/>
          </w:tcPr>
          <w:p w14:paraId="11F2C186" w14:textId="6777E240" w:rsidR="00FE6BAB" w:rsidRDefault="00FE6BAB" w:rsidP="00FE6BAB">
            <w:pPr>
              <w:keepNext/>
              <w:keepLines/>
              <w:tabs>
                <w:tab w:val="left" w:pos="1134"/>
              </w:tabs>
              <w:spacing w:line="276" w:lineRule="auto"/>
              <w:ind w:firstLine="221"/>
              <w:jc w:val="right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114300" distR="114300" wp14:anchorId="7D2F962D" wp14:editId="25A12FE4">
                  <wp:extent cx="649605" cy="619125"/>
                  <wp:effectExtent l="0" t="0" r="0" b="9525"/>
                  <wp:docPr id="2" name="image3.jpg" descr="C:\Users\HASADO\Downloads\Logo proj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HASADO\Downloads\Logo projet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Align w:val="bottom"/>
          </w:tcPr>
          <w:p w14:paraId="23224FB9" w14:textId="0225333C" w:rsidR="00FE6BAB" w:rsidRDefault="00FE6BAB" w:rsidP="00FE6BAB">
            <w:pPr>
              <w:keepNext/>
              <w:keepLines/>
              <w:tabs>
                <w:tab w:val="left" w:pos="1134"/>
              </w:tabs>
              <w:spacing w:line="276" w:lineRule="auto"/>
              <w:ind w:firstLine="221"/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2127" w:type="dxa"/>
            <w:vAlign w:val="bottom"/>
          </w:tcPr>
          <w:p w14:paraId="76592407" w14:textId="77777777" w:rsidR="00FE6BAB" w:rsidRDefault="00FE6BAB" w:rsidP="005E141B">
            <w:pPr>
              <w:keepNext/>
              <w:keepLines/>
              <w:tabs>
                <w:tab w:val="left" w:pos="1134"/>
              </w:tabs>
              <w:spacing w:line="276" w:lineRule="auto"/>
              <w:jc w:val="center"/>
            </w:pPr>
            <w:r>
              <w:rPr>
                <w:b/>
                <w:noProof/>
                <w:lang w:val="en-US" w:eastAsia="en-US"/>
              </w:rPr>
              <w:drawing>
                <wp:inline distT="0" distB="0" distL="114300" distR="114300" wp14:anchorId="0D74B674" wp14:editId="34DD5B8A">
                  <wp:extent cx="729615" cy="723900"/>
                  <wp:effectExtent l="0" t="0" r="0" b="0"/>
                  <wp:docPr id="1" name="image1.jpg" descr="logo-banque_mondi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banque_mondial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BAB" w14:paraId="403FF697" w14:textId="77777777" w:rsidTr="00FE6BAB">
        <w:trPr>
          <w:trHeight w:val="607"/>
        </w:trPr>
        <w:tc>
          <w:tcPr>
            <w:tcW w:w="3544" w:type="dxa"/>
          </w:tcPr>
          <w:p w14:paraId="18B79DF0" w14:textId="0340D945" w:rsidR="00FE6BAB" w:rsidRDefault="00FE6BAB" w:rsidP="0097737D">
            <w:pPr>
              <w:keepNext/>
              <w:keepLines/>
              <w:tabs>
                <w:tab w:val="left" w:pos="0"/>
              </w:tabs>
            </w:pPr>
            <w:r>
              <w:rPr>
                <w:b/>
              </w:rPr>
              <w:t>Ministère de l’Environnement, de l’Agriculture et de l’Elevage</w:t>
            </w:r>
          </w:p>
        </w:tc>
        <w:tc>
          <w:tcPr>
            <w:tcW w:w="1985" w:type="dxa"/>
          </w:tcPr>
          <w:p w14:paraId="23549A9C" w14:textId="4A4E834B" w:rsidR="00FE6BAB" w:rsidRDefault="00FE6BAB" w:rsidP="005E141B">
            <w:pPr>
              <w:keepNext/>
              <w:keepLines/>
              <w:tabs>
                <w:tab w:val="left" w:pos="1134"/>
              </w:tabs>
              <w:jc w:val="center"/>
            </w:pPr>
          </w:p>
        </w:tc>
        <w:tc>
          <w:tcPr>
            <w:tcW w:w="1842" w:type="dxa"/>
          </w:tcPr>
          <w:p w14:paraId="5732BDC7" w14:textId="28F6E8FA" w:rsidR="00FE6BAB" w:rsidRDefault="00FE6BAB" w:rsidP="005E141B">
            <w:pPr>
              <w:keepNext/>
              <w:keepLines/>
              <w:tabs>
                <w:tab w:val="left" w:pos="1134"/>
              </w:tabs>
              <w:jc w:val="center"/>
            </w:pPr>
          </w:p>
        </w:tc>
        <w:tc>
          <w:tcPr>
            <w:tcW w:w="2127" w:type="dxa"/>
          </w:tcPr>
          <w:p w14:paraId="50A760F8" w14:textId="77777777" w:rsidR="00FE6BAB" w:rsidRDefault="00FE6BAB" w:rsidP="005E141B">
            <w:pPr>
              <w:keepNext/>
              <w:keepLines/>
              <w:tabs>
                <w:tab w:val="left" w:pos="1134"/>
              </w:tabs>
              <w:ind w:left="-108"/>
              <w:jc w:val="center"/>
            </w:pPr>
            <w:r>
              <w:rPr>
                <w:b/>
              </w:rPr>
              <w:t>Groupe de la Banque Mondiale</w:t>
            </w:r>
          </w:p>
        </w:tc>
      </w:tr>
    </w:tbl>
    <w:p w14:paraId="70E3D94B" w14:textId="0F0254E8" w:rsidR="00D632FE" w:rsidRPr="006D295F" w:rsidRDefault="006D295F" w:rsidP="00FE6BAB">
      <w:pPr>
        <w:spacing w:after="120"/>
        <w:ind w:right="-140"/>
        <w:jc w:val="center"/>
        <w:rPr>
          <w:color w:val="000000"/>
          <w:u w:val="single"/>
        </w:rPr>
      </w:pPr>
      <w:r w:rsidRPr="006D295F">
        <w:rPr>
          <w:b/>
          <w:u w:val="single"/>
        </w:rPr>
        <w:t>PROJET REGIONAL DE DEVELOPPEMENT AGRICOLE INTEGRE DANS LES GRANDS LACS</w:t>
      </w:r>
      <w:r w:rsidR="00FE6BAB" w:rsidRPr="00FE6BAB">
        <w:rPr>
          <w:b/>
          <w:i/>
        </w:rPr>
        <w:t xml:space="preserve"> </w:t>
      </w:r>
      <w:r w:rsidR="00FE6BAB">
        <w:rPr>
          <w:b/>
          <w:i/>
        </w:rPr>
        <w:t>(</w:t>
      </w:r>
      <w:r w:rsidR="00FE6BAB">
        <w:rPr>
          <w:b/>
          <w:i/>
        </w:rPr>
        <w:t xml:space="preserve"> Don</w:t>
      </w:r>
      <w:r w:rsidR="00FE6BAB">
        <w:rPr>
          <w:b/>
          <w:i/>
          <w:sz w:val="22"/>
          <w:szCs w:val="22"/>
        </w:rPr>
        <w:t xml:space="preserve"> </w:t>
      </w:r>
      <w:r w:rsidR="00FE6BAB">
        <w:rPr>
          <w:b/>
          <w:i/>
          <w:sz w:val="16"/>
          <w:szCs w:val="16"/>
        </w:rPr>
        <w:t xml:space="preserve"> </w:t>
      </w:r>
      <w:r w:rsidR="00FE6BAB">
        <w:rPr>
          <w:b/>
          <w:i/>
          <w:sz w:val="22"/>
          <w:szCs w:val="22"/>
        </w:rPr>
        <w:t>IDA n°D181-BI</w:t>
      </w:r>
    </w:p>
    <w:p w14:paraId="48B669E8" w14:textId="77777777" w:rsidR="00D632FE" w:rsidRDefault="00923F00">
      <w:pPr>
        <w:spacing w:before="240" w:after="24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SOLLICITATION DE MANIFESTATIONS D’INTERET</w:t>
      </w:r>
    </w:p>
    <w:p w14:paraId="275E44A0" w14:textId="77777777" w:rsidR="00D632FE" w:rsidRDefault="00923F00">
      <w:pPr>
        <w:spacing w:before="240" w:after="24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SELECTION DE CONSULTANTS</w:t>
      </w:r>
    </w:p>
    <w:p w14:paraId="11852DF9" w14:textId="6C6801D3" w:rsidR="00D632FE" w:rsidRDefault="00923F00">
      <w:pPr>
        <w:spacing w:before="240" w:after="2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NOM DU PROJET : Projet Régional de Développement Agricole Intégré dans les Grands Lacs</w:t>
      </w:r>
    </w:p>
    <w:p w14:paraId="3B68000C" w14:textId="710F30F3" w:rsidR="00C33DCA" w:rsidRPr="00FE6BAB" w:rsidRDefault="00923F00" w:rsidP="00F8306D">
      <w:pPr>
        <w:autoSpaceDE w:val="0"/>
        <w:autoSpaceDN w:val="0"/>
        <w:adjustRightInd w:val="0"/>
        <w:jc w:val="center"/>
        <w:rPr>
          <w:b/>
          <w:bCs/>
          <w:i/>
          <w:iCs/>
          <w:strike/>
          <w:color w:val="000000"/>
        </w:rPr>
      </w:pPr>
      <w:r w:rsidRPr="00FE6BAB">
        <w:rPr>
          <w:b/>
          <w:i/>
        </w:rPr>
        <w:t xml:space="preserve">L’INTITULE DE LA MISSION DE CONSULTANT : </w:t>
      </w:r>
      <w:r w:rsidR="00F8306D" w:rsidRPr="00FE6BAB">
        <w:rPr>
          <w:b/>
          <w:bCs/>
          <w:i/>
          <w:iCs/>
          <w:color w:val="000000"/>
        </w:rPr>
        <w:t xml:space="preserve">Audit externe du Projet pour les exercices de Juillet 2023 à Juin 2024 et de Juillet 2024 à Novembre 2024 plus la période de grâce de Décembre 2024 à Mars 2025 </w:t>
      </w:r>
    </w:p>
    <w:p w14:paraId="5F0C42AC" w14:textId="406F1BA5" w:rsidR="00D632FE" w:rsidRDefault="00923F00">
      <w:pPr>
        <w:spacing w:before="240" w:after="240"/>
        <w:jc w:val="both"/>
        <w:rPr>
          <w:rFonts w:ascii="Arial" w:eastAsia="Arial" w:hAnsi="Arial" w:cs="Arial"/>
          <w:b/>
          <w:i/>
          <w:sz w:val="20"/>
          <w:szCs w:val="20"/>
          <w:highlight w:val="white"/>
        </w:rPr>
      </w:pPr>
      <w:r>
        <w:rPr>
          <w:b/>
          <w:i/>
        </w:rPr>
        <w:t>N</w:t>
      </w:r>
      <w:r w:rsidR="00C33DCA">
        <w:rPr>
          <w:b/>
          <w:i/>
        </w:rPr>
        <w:t>°</w:t>
      </w:r>
      <w:r>
        <w:rPr>
          <w:b/>
          <w:i/>
        </w:rPr>
        <w:t xml:space="preserve"> d</w:t>
      </w:r>
      <w:r w:rsidR="00C33DCA">
        <w:rPr>
          <w:b/>
          <w:i/>
        </w:rPr>
        <w:t>e</w:t>
      </w:r>
      <w:r>
        <w:rPr>
          <w:b/>
          <w:i/>
        </w:rPr>
        <w:t xml:space="preserve"> référence </w:t>
      </w:r>
      <w:r w:rsidRPr="00AC2141">
        <w:rPr>
          <w:b/>
          <w:i/>
        </w:rPr>
        <w:t xml:space="preserve">: </w:t>
      </w:r>
      <w:hyperlink r:id="rId10" w:history="1">
        <w:r w:rsidR="00F8306D">
          <w:rPr>
            <w:rStyle w:val="Lienhypertexte"/>
            <w:b/>
            <w:color w:val="auto"/>
          </w:rPr>
          <w:t>BI-PIU-410174-CS-LC</w:t>
        </w:r>
        <w:r w:rsidR="00AC2141" w:rsidRPr="00AC2141">
          <w:rPr>
            <w:rStyle w:val="Lienhypertexte"/>
            <w:b/>
            <w:color w:val="auto"/>
          </w:rPr>
          <w:t>S</w:t>
        </w:r>
      </w:hyperlink>
    </w:p>
    <w:p w14:paraId="44686203" w14:textId="5E340ADD" w:rsidR="00C33DCA" w:rsidRPr="00587FC3" w:rsidRDefault="00C33DCA" w:rsidP="00C33DCA">
      <w:pPr>
        <w:jc w:val="both"/>
        <w:rPr>
          <w:b/>
          <w:i/>
        </w:rPr>
      </w:pPr>
      <w:r w:rsidRPr="00587FC3">
        <w:t>Le Gouvernement du Burundi a reçu</w:t>
      </w:r>
      <w:r w:rsidRPr="00587FC3">
        <w:rPr>
          <w:i/>
        </w:rPr>
        <w:t xml:space="preserve"> </w:t>
      </w:r>
      <w:r w:rsidRPr="00587FC3">
        <w:t>un financement</w:t>
      </w:r>
      <w:r w:rsidRPr="00587FC3">
        <w:rPr>
          <w:i/>
        </w:rPr>
        <w:t xml:space="preserve"> </w:t>
      </w:r>
      <w:r w:rsidRPr="00587FC3">
        <w:t xml:space="preserve">de la Banque Mondiale, à travers le Projet Régional de Développement Agricole Intégré dans les Grands Lacs et a l’intention d’utiliser une partie du montant de ce </w:t>
      </w:r>
      <w:r w:rsidRPr="00587FC3">
        <w:rPr>
          <w:i/>
        </w:rPr>
        <w:t xml:space="preserve">don </w:t>
      </w:r>
      <w:r w:rsidRPr="00587FC3">
        <w:t>pour effectuer les paiements de services de consultants.</w:t>
      </w:r>
    </w:p>
    <w:p w14:paraId="6179B5FB" w14:textId="0B3B2846" w:rsidR="008C2B59" w:rsidRPr="00FB0844" w:rsidRDefault="00C33DCA" w:rsidP="00C527C1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 w:rsidRPr="00FB0844">
        <w:t>Les services de consultant </w:t>
      </w:r>
      <w:r w:rsidR="008C2B59" w:rsidRPr="00FB0844">
        <w:t xml:space="preserve">portent </w:t>
      </w:r>
      <w:r w:rsidR="00585205" w:rsidRPr="00FB0844">
        <w:t>sur</w:t>
      </w:r>
      <w:r w:rsidR="00585205" w:rsidRPr="00FB0844">
        <w:rPr>
          <w:color w:val="000000"/>
        </w:rPr>
        <w:t xml:space="preserve"> :</w:t>
      </w:r>
    </w:p>
    <w:p w14:paraId="10291D32" w14:textId="77777777" w:rsidR="00F8306D" w:rsidRPr="00FB0844" w:rsidRDefault="00F8306D" w:rsidP="00FE6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right="-144"/>
        <w:jc w:val="both"/>
        <w:rPr>
          <w:i/>
          <w:color w:val="000000"/>
        </w:rPr>
      </w:pPr>
      <w:r w:rsidRPr="00FB0844">
        <w:rPr>
          <w:color w:val="000000"/>
        </w:rPr>
        <w:t>Année fiscale 2023/2024 : du 01 juillet 2023 au 30 juin 2024. Et si prestation satisfaisante,</w:t>
      </w:r>
    </w:p>
    <w:p w14:paraId="12DF9012" w14:textId="476F69F4" w:rsidR="00F8306D" w:rsidRPr="00FB0844" w:rsidRDefault="00F8306D" w:rsidP="00FE6B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right="-144"/>
        <w:jc w:val="both"/>
        <w:rPr>
          <w:i/>
          <w:color w:val="000000"/>
        </w:rPr>
      </w:pPr>
      <w:r w:rsidRPr="00FB0844">
        <w:rPr>
          <w:color w:val="000000"/>
        </w:rPr>
        <w:t>Année fiscale 2024/2025 : du 01 juillet 2024 au 29 novembre 2024, date de clôture et de décembre 2024 au 31 Mars 2025, période de grâce.</w:t>
      </w:r>
    </w:p>
    <w:p w14:paraId="5C88E058" w14:textId="0DBFD1C8" w:rsidR="005E141B" w:rsidRDefault="008C2B59" w:rsidP="00C527C1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-144"/>
        <w:jc w:val="both"/>
        <w:rPr>
          <w:color w:val="000000"/>
        </w:rPr>
      </w:pPr>
      <w:r w:rsidRPr="007F70D1">
        <w:rPr>
          <w:color w:val="000000"/>
        </w:rPr>
        <w:t xml:space="preserve">La période de réalisation prévisionnelle de la mission pour cette </w:t>
      </w:r>
      <w:r>
        <w:rPr>
          <w:color w:val="000000"/>
        </w:rPr>
        <w:t>mission</w:t>
      </w:r>
      <w:r w:rsidRPr="007F70D1">
        <w:rPr>
          <w:color w:val="000000"/>
        </w:rPr>
        <w:t xml:space="preserve"> est de </w:t>
      </w:r>
      <w:r w:rsidR="00585205">
        <w:rPr>
          <w:color w:val="000000"/>
        </w:rPr>
        <w:t>quatre semaines</w:t>
      </w:r>
      <w:r>
        <w:rPr>
          <w:color w:val="000000"/>
        </w:rPr>
        <w:t xml:space="preserve">, soit un mois </w:t>
      </w:r>
      <w:r w:rsidR="00585205">
        <w:rPr>
          <w:color w:val="000000"/>
        </w:rPr>
        <w:t>calendaire</w:t>
      </w:r>
      <w:r>
        <w:rPr>
          <w:color w:val="000000"/>
        </w:rPr>
        <w:t xml:space="preserve"> pour environ 4</w:t>
      </w:r>
      <w:r w:rsidR="005E141B">
        <w:rPr>
          <w:color w:val="000000"/>
        </w:rPr>
        <w:t xml:space="preserve"> </w:t>
      </w:r>
      <w:r>
        <w:rPr>
          <w:color w:val="000000"/>
        </w:rPr>
        <w:t>experts/mois </w:t>
      </w:r>
      <w:r w:rsidR="005E141B">
        <w:rPr>
          <w:color w:val="000000"/>
        </w:rPr>
        <w:t>dont</w:t>
      </w:r>
      <w:r>
        <w:rPr>
          <w:color w:val="000000"/>
        </w:rPr>
        <w:t xml:space="preserve"> </w:t>
      </w:r>
      <w:r w:rsidR="005E141B">
        <w:rPr>
          <w:color w:val="000000"/>
        </w:rPr>
        <w:t>un expert-comptable</w:t>
      </w:r>
      <w:r>
        <w:rPr>
          <w:color w:val="000000"/>
        </w:rPr>
        <w:t>, chef de mission</w:t>
      </w:r>
      <w:r w:rsidR="005E141B">
        <w:rPr>
          <w:color w:val="000000"/>
        </w:rPr>
        <w:t xml:space="preserve">, deux assistants juniors expérimentés en audit comptable et financier </w:t>
      </w:r>
      <w:r w:rsidR="005E141B">
        <w:t>et u</w:t>
      </w:r>
      <w:r w:rsidR="005E141B" w:rsidRPr="003B4F0E">
        <w:t>n expert</w:t>
      </w:r>
      <w:r w:rsidR="005E141B" w:rsidRPr="00483BD3">
        <w:t xml:space="preserve"> en </w:t>
      </w:r>
      <w:r w:rsidR="005E141B">
        <w:t xml:space="preserve">audit de la </w:t>
      </w:r>
      <w:r w:rsidR="005E141B" w:rsidRPr="00483BD3">
        <w:t>passation</w:t>
      </w:r>
      <w:r w:rsidR="005E141B" w:rsidRPr="003B4F0E">
        <w:t xml:space="preserve"> des marches</w:t>
      </w:r>
      <w:r w:rsidR="005E141B">
        <w:rPr>
          <w:color w:val="000000"/>
        </w:rPr>
        <w:t xml:space="preserve"> </w:t>
      </w:r>
    </w:p>
    <w:p w14:paraId="08806E18" w14:textId="1408EA89" w:rsidR="00DA5C24" w:rsidRDefault="008C2B59" w:rsidP="00DA5C2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144"/>
        <w:jc w:val="both"/>
      </w:pPr>
      <w:r>
        <w:rPr>
          <w:color w:val="000000"/>
        </w:rPr>
        <w:t xml:space="preserve">La date prévisionnelle de début de la mission pour cette </w:t>
      </w:r>
      <w:r w:rsidR="00DA5C24">
        <w:rPr>
          <w:color w:val="000000"/>
        </w:rPr>
        <w:t xml:space="preserve">mission sera la mi-octobre suivant la clôture de l’exercice fiscal à auditer, soit </w:t>
      </w:r>
      <w:r w:rsidR="00DA5C24" w:rsidRPr="00FB0844">
        <w:rPr>
          <w:color w:val="000000"/>
        </w:rPr>
        <w:t>respectivement mi-octobre 202</w:t>
      </w:r>
      <w:r w:rsidR="00F8306D" w:rsidRPr="00FB0844">
        <w:rPr>
          <w:color w:val="000000"/>
        </w:rPr>
        <w:t>4</w:t>
      </w:r>
      <w:r w:rsidR="00DA5C24" w:rsidRPr="00FB0844">
        <w:rPr>
          <w:color w:val="000000"/>
        </w:rPr>
        <w:t xml:space="preserve"> et </w:t>
      </w:r>
      <w:r w:rsidR="00225989" w:rsidRPr="00FB0844">
        <w:rPr>
          <w:color w:val="000000"/>
        </w:rPr>
        <w:t>mi-février</w:t>
      </w:r>
      <w:r w:rsidR="009357E7" w:rsidRPr="00FB0844">
        <w:rPr>
          <w:color w:val="000000"/>
        </w:rPr>
        <w:t xml:space="preserve"> </w:t>
      </w:r>
      <w:r w:rsidR="00DA5C24" w:rsidRPr="00FB0844">
        <w:rPr>
          <w:color w:val="000000"/>
        </w:rPr>
        <w:t>202</w:t>
      </w:r>
      <w:r w:rsidR="00F8306D" w:rsidRPr="00FB0844">
        <w:rPr>
          <w:color w:val="000000"/>
        </w:rPr>
        <w:t>5</w:t>
      </w:r>
      <w:r w:rsidRPr="00FB0844">
        <w:t>.</w:t>
      </w:r>
    </w:p>
    <w:p w14:paraId="03D0B32D" w14:textId="2628CB6B" w:rsidR="00D632FE" w:rsidRDefault="00923F00" w:rsidP="00DA5C2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144"/>
        <w:jc w:val="both"/>
        <w:rPr>
          <w:color w:val="000000"/>
        </w:rPr>
      </w:pPr>
      <w:r>
        <w:rPr>
          <w:color w:val="000000"/>
        </w:rPr>
        <w:t xml:space="preserve">Les termes de référence détaillés de cette mission peuvent être </w:t>
      </w:r>
      <w:r w:rsidR="005E141B">
        <w:rPr>
          <w:color w:val="000000"/>
        </w:rPr>
        <w:t>obtenus auprès</w:t>
      </w:r>
      <w:r>
        <w:rPr>
          <w:color w:val="000000"/>
        </w:rPr>
        <w:t xml:space="preserve"> du Projet Régional de Développement Agricole Intégré dans les Grands-Lacs, sis Rohero I, avenue de la JRR, n°</w:t>
      </w:r>
      <w:r w:rsidR="00C527C1">
        <w:rPr>
          <w:color w:val="000000"/>
        </w:rPr>
        <w:t>20</w:t>
      </w:r>
      <w:r>
        <w:rPr>
          <w:color w:val="000000"/>
        </w:rPr>
        <w:t>, S&amp;N House, 5</w:t>
      </w:r>
      <w:r>
        <w:rPr>
          <w:color w:val="000000"/>
          <w:vertAlign w:val="superscript"/>
        </w:rPr>
        <w:t>ème</w:t>
      </w:r>
      <w:r>
        <w:rPr>
          <w:color w:val="000000"/>
        </w:rPr>
        <w:t xml:space="preserve"> niveau.</w:t>
      </w:r>
    </w:p>
    <w:p w14:paraId="7145C802" w14:textId="448E76B9" w:rsidR="00D632FE" w:rsidRDefault="00923F00" w:rsidP="005E141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97737D">
        <w:rPr>
          <w:color w:val="000000"/>
        </w:rPr>
        <w:t xml:space="preserve">Le PRDAIGL invite par la présente les candidats </w:t>
      </w:r>
      <w:r w:rsidR="0097737D" w:rsidRPr="0097737D">
        <w:rPr>
          <w:color w:val="000000"/>
        </w:rPr>
        <w:t>admissibles </w:t>
      </w:r>
      <w:r w:rsidR="0097737D">
        <w:rPr>
          <w:color w:val="000000"/>
        </w:rPr>
        <w:t>« </w:t>
      </w:r>
      <w:r w:rsidR="0097737D" w:rsidRPr="0097737D">
        <w:rPr>
          <w:color w:val="000000"/>
        </w:rPr>
        <w:t>Consultants »</w:t>
      </w:r>
      <w:r w:rsidRPr="0097737D">
        <w:rPr>
          <w:color w:val="000000"/>
        </w:rPr>
        <w:t xml:space="preserve"> </w:t>
      </w:r>
      <w:r w:rsidR="00AC2141" w:rsidRPr="0097737D">
        <w:rPr>
          <w:color w:val="000000"/>
        </w:rPr>
        <w:t>à soumettre</w:t>
      </w:r>
      <w:r w:rsidR="0097737D" w:rsidRPr="0097737D">
        <w:rPr>
          <w:color w:val="000000"/>
        </w:rPr>
        <w:t xml:space="preserve"> leurs </w:t>
      </w:r>
      <w:r w:rsidRPr="0097737D">
        <w:rPr>
          <w:color w:val="000000"/>
        </w:rPr>
        <w:t>manifest</w:t>
      </w:r>
      <w:r w:rsidR="0097737D" w:rsidRPr="0097737D">
        <w:rPr>
          <w:color w:val="000000"/>
        </w:rPr>
        <w:t>ations d’</w:t>
      </w:r>
      <w:r w:rsidRPr="0097737D">
        <w:rPr>
          <w:color w:val="000000"/>
        </w:rPr>
        <w:t>intérêt</w:t>
      </w:r>
      <w:r w:rsidR="0097737D" w:rsidRPr="0097737D">
        <w:rPr>
          <w:color w:val="000000"/>
        </w:rPr>
        <w:t xml:space="preserve"> pour fournir les services ci-dessus</w:t>
      </w:r>
      <w:r w:rsidRPr="0097737D">
        <w:rPr>
          <w:color w:val="000000"/>
        </w:rPr>
        <w:t xml:space="preserve">. Les Candidats intéressés devraient fournir les informations nécessaires démontrant </w:t>
      </w:r>
      <w:r w:rsidR="0097737D" w:rsidRPr="0097737D">
        <w:rPr>
          <w:color w:val="000000"/>
        </w:rPr>
        <w:t xml:space="preserve">qu’ils possèdent </w:t>
      </w:r>
      <w:r w:rsidRPr="0097737D">
        <w:rPr>
          <w:color w:val="000000"/>
        </w:rPr>
        <w:t xml:space="preserve">les qualifications </w:t>
      </w:r>
      <w:r w:rsidR="0097737D" w:rsidRPr="0097737D">
        <w:rPr>
          <w:color w:val="000000"/>
        </w:rPr>
        <w:t xml:space="preserve">requises </w:t>
      </w:r>
      <w:r w:rsidRPr="0097737D">
        <w:rPr>
          <w:color w:val="000000"/>
        </w:rPr>
        <w:t xml:space="preserve">et </w:t>
      </w:r>
      <w:r w:rsidR="0097737D" w:rsidRPr="0097737D">
        <w:rPr>
          <w:color w:val="000000"/>
        </w:rPr>
        <w:t>une</w:t>
      </w:r>
      <w:r w:rsidRPr="0097737D">
        <w:rPr>
          <w:color w:val="000000"/>
        </w:rPr>
        <w:t xml:space="preserve"> expérience</w:t>
      </w:r>
      <w:r w:rsidR="0097737D" w:rsidRPr="0097737D">
        <w:rPr>
          <w:color w:val="000000"/>
        </w:rPr>
        <w:t xml:space="preserve"> pertinente pour l’exécution des Services</w:t>
      </w:r>
      <w:r w:rsidRPr="0097737D">
        <w:rPr>
          <w:color w:val="000000"/>
        </w:rPr>
        <w:t>.</w:t>
      </w:r>
    </w:p>
    <w:p w14:paraId="5A408694" w14:textId="69FEBDA1" w:rsidR="00D632FE" w:rsidRDefault="0097737D" w:rsidP="0097737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U</w:t>
      </w:r>
      <w:r w:rsidR="00923F00">
        <w:rPr>
          <w:color w:val="000000"/>
        </w:rPr>
        <w:t>ne liste restreinte sera établie sur base des critères ci-dessous :</w:t>
      </w:r>
    </w:p>
    <w:p w14:paraId="0FD9CCA4" w14:textId="77777777" w:rsidR="00DA5C24" w:rsidRDefault="00923F00">
      <w:pPr>
        <w:tabs>
          <w:tab w:val="left" w:pos="720"/>
        </w:tabs>
        <w:spacing w:before="120"/>
        <w:jc w:val="both"/>
      </w:pPr>
      <w:r>
        <w:lastRenderedPageBreak/>
        <w:t xml:space="preserve">Le consultant doit être un Cabinet d’Audit et d’Expertise Comptable, </w:t>
      </w:r>
    </w:p>
    <w:p w14:paraId="74DFFDCD" w14:textId="77777777" w:rsidR="00DA5C24" w:rsidRDefault="00923F00" w:rsidP="00DA5C24">
      <w:pPr>
        <w:pStyle w:val="Paragraphedeliste"/>
        <w:numPr>
          <w:ilvl w:val="0"/>
          <w:numId w:val="4"/>
        </w:numPr>
        <w:tabs>
          <w:tab w:val="left" w:pos="720"/>
        </w:tabs>
        <w:spacing w:before="120"/>
        <w:jc w:val="both"/>
      </w:pPr>
      <w:r>
        <w:t xml:space="preserve">affilié à un ordre des professionnels comptable qui est obligatoirement membre de l’IFAC, de réputation internationale et </w:t>
      </w:r>
    </w:p>
    <w:p w14:paraId="7877CFD4" w14:textId="318C77E3" w:rsidR="00D632FE" w:rsidRDefault="00923F00" w:rsidP="00DA5C24">
      <w:pPr>
        <w:pStyle w:val="Paragraphedeliste"/>
        <w:numPr>
          <w:ilvl w:val="0"/>
          <w:numId w:val="4"/>
        </w:numPr>
        <w:tabs>
          <w:tab w:val="left" w:pos="720"/>
        </w:tabs>
        <w:spacing w:before="120"/>
        <w:jc w:val="both"/>
      </w:pPr>
      <w:r>
        <w:t>ayant une expérience confirmée en audit financier des comptes des projets de développement notamment les projets financés par la Banque Mondiale (au moins 5 projets financés par les bailleurs de fonds).</w:t>
      </w:r>
    </w:p>
    <w:p w14:paraId="3EB60702" w14:textId="77777777" w:rsidR="00DA5C24" w:rsidRDefault="00DA5C24">
      <w:pPr>
        <w:tabs>
          <w:tab w:val="left" w:pos="720"/>
        </w:tabs>
        <w:jc w:val="both"/>
      </w:pPr>
    </w:p>
    <w:p w14:paraId="276CDFB8" w14:textId="2C2C689D" w:rsidR="00D632FE" w:rsidRDefault="00923F00">
      <w:pPr>
        <w:tabs>
          <w:tab w:val="left" w:pos="720"/>
        </w:tabs>
        <w:jc w:val="both"/>
      </w:pPr>
      <w:r>
        <w:t xml:space="preserve">Les Big five sont fortement encouragés à postuler. </w:t>
      </w:r>
    </w:p>
    <w:p w14:paraId="39D50E2B" w14:textId="77777777" w:rsidR="00DA5C24" w:rsidRDefault="00DA5C24">
      <w:pPr>
        <w:tabs>
          <w:tab w:val="left" w:pos="720"/>
        </w:tabs>
        <w:jc w:val="both"/>
      </w:pPr>
    </w:p>
    <w:p w14:paraId="16CF584F" w14:textId="6837A580" w:rsidR="00D632FE" w:rsidRDefault="00923F00">
      <w:pPr>
        <w:tabs>
          <w:tab w:val="left" w:pos="720"/>
        </w:tabs>
        <w:jc w:val="both"/>
      </w:pPr>
      <w:r>
        <w:t>Les consortiums de cabinets sont autorisés sous la seule condition que chaque membre du consortium soit membre d’un ordre des professionnels comptables, membre de l’IFAC.</w:t>
      </w:r>
    </w:p>
    <w:p w14:paraId="2B7B8699" w14:textId="77777777" w:rsidR="00D632FE" w:rsidRDefault="00D632FE">
      <w:pPr>
        <w:tabs>
          <w:tab w:val="left" w:pos="720"/>
        </w:tabs>
        <w:jc w:val="both"/>
      </w:pPr>
    </w:p>
    <w:p w14:paraId="3CE76264" w14:textId="32700046" w:rsidR="00D632FE" w:rsidRDefault="00923F00">
      <w:pPr>
        <w:tabs>
          <w:tab w:val="left" w:pos="720"/>
        </w:tabs>
        <w:jc w:val="both"/>
      </w:pPr>
      <w:r>
        <w:t xml:space="preserve">Le personnel clé de la mission </w:t>
      </w:r>
      <w:r w:rsidR="00DA5C24">
        <w:t xml:space="preserve">ne sera pas évalué à cette étape </w:t>
      </w:r>
      <w:r w:rsidR="005E141B">
        <w:t>de constitution de la liste restreinte</w:t>
      </w:r>
    </w:p>
    <w:p w14:paraId="6E3335B3" w14:textId="77777777" w:rsidR="001F6D0F" w:rsidRDefault="001F6D0F" w:rsidP="001F6D0F">
      <w:pPr>
        <w:spacing w:line="276" w:lineRule="auto"/>
        <w:jc w:val="both"/>
      </w:pPr>
    </w:p>
    <w:p w14:paraId="04C1AA72" w14:textId="33B54744" w:rsidR="001F6D0F" w:rsidRDefault="001F6D0F" w:rsidP="001F6D0F">
      <w:pPr>
        <w:spacing w:line="276" w:lineRule="auto"/>
        <w:jc w:val="both"/>
      </w:pPr>
      <w:r w:rsidRPr="00FB0844">
        <w:t xml:space="preserve">L’attention des Consultants intéressés est </w:t>
      </w:r>
      <w:r w:rsidR="0097737D" w:rsidRPr="00FB0844">
        <w:t>attirée</w:t>
      </w:r>
      <w:r w:rsidRPr="00FB0844">
        <w:t xml:space="preserve"> sur les dispositions des paragraphes 3.14,3.16, et 3.17 de la section III du « </w:t>
      </w:r>
      <w:r w:rsidRPr="00FB0844">
        <w:rPr>
          <w:i/>
        </w:rPr>
        <w:t>Règlement de Passation des Marchés</w:t>
      </w:r>
      <w:r w:rsidRPr="00FB0844">
        <w:t xml:space="preserve"> </w:t>
      </w:r>
      <w:r w:rsidRPr="00FB0844">
        <w:rPr>
          <w:i/>
        </w:rPr>
        <w:t>pour les Emprunteurs sollicitant le financement des projets d’Investissement (FPI) de la Banque mondiale, juillet 2016 révisé en novembre 2017</w:t>
      </w:r>
      <w:r w:rsidR="00AC2141" w:rsidRPr="00FB0844">
        <w:rPr>
          <w:i/>
        </w:rPr>
        <w:t xml:space="preserve">, </w:t>
      </w:r>
      <w:r w:rsidRPr="00FB0844">
        <w:rPr>
          <w:i/>
        </w:rPr>
        <w:t>août 2018</w:t>
      </w:r>
      <w:r w:rsidR="00AC2141" w:rsidRPr="00FB0844">
        <w:rPr>
          <w:i/>
        </w:rPr>
        <w:t xml:space="preserve"> et novembre 2020</w:t>
      </w:r>
      <w:r w:rsidRPr="00FB0844">
        <w:rPr>
          <w:i/>
        </w:rPr>
        <w:t xml:space="preserve"> (« Règlement de passation des Marchés »), relatives aux règles de la Banque mondiale </w:t>
      </w:r>
      <w:r w:rsidRPr="00FB0844">
        <w:t>en matière de conflit d’intérêts sont applicables. De plus, veuillez-vous référer aux informations spécifiques sur les conflits d’intérêts liées à cette mission comme énoncés au paragraphe 3.17 du Règlement de Passation des Marchés.</w:t>
      </w:r>
      <w:r>
        <w:t xml:space="preserve"> </w:t>
      </w:r>
    </w:p>
    <w:p w14:paraId="14B4831A" w14:textId="77777777" w:rsidR="001F6D0F" w:rsidRDefault="001F6D0F" w:rsidP="001F6D0F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highlight w:val="green"/>
        </w:rPr>
      </w:pPr>
    </w:p>
    <w:p w14:paraId="6C162BF3" w14:textId="77777777" w:rsidR="001F6D0F" w:rsidRPr="007F70D1" w:rsidRDefault="001F6D0F" w:rsidP="001F6D0F">
      <w:pPr>
        <w:jc w:val="both"/>
      </w:pPr>
      <w:r w:rsidRPr="007F70D1">
        <w:t>Les Consultants peuvent s’associer avec d’autres firmes pour renforcer leurs compétences respectives, mais devraient indiquer clairement si l’association est sous forme d’un groupement solidaire (joint-venture) et/ou d’un accord de sous-traitant. Dans le cas d’un groupement (joint-venture), tous les partenaires du groupement (joint-venture) seront conjointement et solidairement responsables de la totalité du contrat, s’ils sont sélectionnés.</w:t>
      </w:r>
    </w:p>
    <w:p w14:paraId="71D63644" w14:textId="77777777" w:rsidR="006D295F" w:rsidRDefault="006D295F" w:rsidP="006D295F">
      <w:pPr>
        <w:jc w:val="both"/>
      </w:pPr>
    </w:p>
    <w:p w14:paraId="6586C730" w14:textId="3668C56F" w:rsidR="006D295F" w:rsidRPr="00FB0844" w:rsidRDefault="006D295F" w:rsidP="006D295F">
      <w:pPr>
        <w:jc w:val="both"/>
      </w:pPr>
      <w:r>
        <w:t xml:space="preserve">Un Consultant sera sélectionné selon la méthode « Sélection au Moindre Coût » en accord avec les procédures définies dans le Règlement de Passation des Marchés pour les Emprunteurs sollicitant un Financement de Projets d’Investissement de la </w:t>
      </w:r>
      <w:r w:rsidRPr="00FB0844">
        <w:t>Banque, édition juillet 2016, révisé en novembre 2017</w:t>
      </w:r>
      <w:r w:rsidR="00AC2141" w:rsidRPr="00FB0844">
        <w:t>,</w:t>
      </w:r>
      <w:r w:rsidRPr="00FB0844">
        <w:t xml:space="preserve"> août 2018</w:t>
      </w:r>
      <w:r w:rsidR="00AC2141" w:rsidRPr="00FB0844">
        <w:t xml:space="preserve"> et novembre 2020</w:t>
      </w:r>
      <w:r w:rsidRPr="00FB0844">
        <w:t>.</w:t>
      </w:r>
    </w:p>
    <w:p w14:paraId="47F1EB1D" w14:textId="77777777" w:rsidR="006D295F" w:rsidRPr="00FB0844" w:rsidRDefault="006D295F" w:rsidP="006D295F">
      <w:pPr>
        <w:jc w:val="both"/>
      </w:pPr>
    </w:p>
    <w:p w14:paraId="78329BB2" w14:textId="51D84F10" w:rsidR="00D632FE" w:rsidRPr="00FB0844" w:rsidRDefault="006D295F" w:rsidP="0097737D">
      <w:pPr>
        <w:jc w:val="both"/>
      </w:pPr>
      <w:r w:rsidRPr="00FB0844">
        <w:t>D</w:t>
      </w:r>
      <w:r w:rsidR="00923F00" w:rsidRPr="00FB0844">
        <w:t xml:space="preserve">es informations supplémentaires </w:t>
      </w:r>
      <w:r w:rsidRPr="00FB0844">
        <w:t>peuvent être obtenues à</w:t>
      </w:r>
      <w:r w:rsidR="00923F00" w:rsidRPr="00FB0844">
        <w:t xml:space="preserve"> l’adresse mentionnée ci-dessous et aux heures d’ouverture de bureaux de 7</w:t>
      </w:r>
      <w:r w:rsidRPr="00FB0844">
        <w:t xml:space="preserve"> </w:t>
      </w:r>
      <w:r w:rsidR="00923F00" w:rsidRPr="00FB0844">
        <w:t xml:space="preserve">h30’ à 12 </w:t>
      </w:r>
      <w:r w:rsidRPr="00FB0844">
        <w:t xml:space="preserve">h 00 </w:t>
      </w:r>
      <w:r w:rsidR="00923F00" w:rsidRPr="00FB0844">
        <w:t>et de 14 h 00’</w:t>
      </w:r>
      <w:r w:rsidR="00225989" w:rsidRPr="00FB0844">
        <w:t xml:space="preserve"> </w:t>
      </w:r>
      <w:r w:rsidR="00923F00" w:rsidRPr="00FB0844">
        <w:t>à 17 h 30</w:t>
      </w:r>
      <w:r w:rsidRPr="00FB0844">
        <w:t>’, du lundi au vendredi.</w:t>
      </w:r>
    </w:p>
    <w:p w14:paraId="488BEBD5" w14:textId="77777777" w:rsidR="00D632FE" w:rsidRPr="00FB0844" w:rsidRDefault="00D632FE">
      <w:pPr>
        <w:jc w:val="both"/>
      </w:pPr>
    </w:p>
    <w:p w14:paraId="608B882D" w14:textId="1322C971" w:rsidR="00D632FE" w:rsidRDefault="00923F00" w:rsidP="006D295F">
      <w:pPr>
        <w:jc w:val="both"/>
      </w:pPr>
      <w:r w:rsidRPr="00FB0844">
        <w:t xml:space="preserve">Les manifestations d’intérêt doivent être envoyées aux adresses mentionnées ci-dessous au plus tard le </w:t>
      </w:r>
      <w:r w:rsidR="00225989" w:rsidRPr="00FB0844">
        <w:rPr>
          <w:b/>
        </w:rPr>
        <w:t>11/4</w:t>
      </w:r>
      <w:r w:rsidRPr="00FB0844">
        <w:rPr>
          <w:b/>
        </w:rPr>
        <w:t>/202</w:t>
      </w:r>
      <w:r w:rsidR="00225989" w:rsidRPr="00FB0844">
        <w:rPr>
          <w:b/>
        </w:rPr>
        <w:t>4</w:t>
      </w:r>
      <w:r w:rsidRPr="00FB0844">
        <w:t xml:space="preserve"> </w:t>
      </w:r>
      <w:r w:rsidRPr="00FB0844">
        <w:rPr>
          <w:b/>
        </w:rPr>
        <w:t>à 1</w:t>
      </w:r>
      <w:r w:rsidR="00C527C1" w:rsidRPr="00FB0844">
        <w:rPr>
          <w:b/>
        </w:rPr>
        <w:t>7</w:t>
      </w:r>
      <w:r w:rsidRPr="00FB0844">
        <w:rPr>
          <w:b/>
        </w:rPr>
        <w:t xml:space="preserve"> heures précises</w:t>
      </w:r>
      <w:r w:rsidRPr="00FB0844">
        <w:t xml:space="preserve">, et porter expressément la mention « MANIFESTATION D’INTERET POUR LES SERVICES DE CONSULTANT CHARGE D’EFFECTUER UNE MISSION D’AUDIT FINANCIER ET COMPTABLE DU PROJET PRDAIGL EXERCICES FISCAUX </w:t>
      </w:r>
      <w:r w:rsidR="00DE2955" w:rsidRPr="00FB0844">
        <w:rPr>
          <w:b/>
          <w:i/>
        </w:rPr>
        <w:t>2023/2024</w:t>
      </w:r>
      <w:r w:rsidR="00AC2141" w:rsidRPr="00FB0844">
        <w:rPr>
          <w:b/>
          <w:i/>
        </w:rPr>
        <w:t xml:space="preserve"> et</w:t>
      </w:r>
      <w:r w:rsidR="00DE2955" w:rsidRPr="00FB0844">
        <w:rPr>
          <w:b/>
          <w:i/>
        </w:rPr>
        <w:t xml:space="preserve"> 2024/2025</w:t>
      </w:r>
      <w:r w:rsidR="00DE2955" w:rsidRPr="00FB0844">
        <w:t xml:space="preserve"> »</w:t>
      </w:r>
      <w:r w:rsidRPr="00FB0844">
        <w:t>.</w:t>
      </w:r>
    </w:p>
    <w:p w14:paraId="2586A2C8" w14:textId="3FA7CF20" w:rsidR="00D632FE" w:rsidRDefault="00923F00" w:rsidP="00FE6BAB">
      <w:pPr>
        <w:tabs>
          <w:tab w:val="right" w:pos="7164"/>
        </w:tabs>
        <w:spacing w:before="240"/>
      </w:pPr>
      <w:bookmarkStart w:id="0" w:name="_GoBack"/>
      <w:bookmarkEnd w:id="0"/>
      <w:r>
        <w:t xml:space="preserve">A l’attention de : Mr. le </w:t>
      </w:r>
      <w:r>
        <w:rPr>
          <w:i/>
        </w:rPr>
        <w:t xml:space="preserve">Coordonnateur National du PRDAIGL </w:t>
      </w:r>
    </w:p>
    <w:p w14:paraId="391F8B3A" w14:textId="116FE5C9" w:rsidR="00D632FE" w:rsidRDefault="00923F00" w:rsidP="00FE6BAB">
      <w:pPr>
        <w:tabs>
          <w:tab w:val="right" w:pos="7164"/>
        </w:tabs>
      </w:pPr>
      <w:r>
        <w:t>N</w:t>
      </w:r>
      <w:r>
        <w:rPr>
          <w:vertAlign w:val="superscript"/>
        </w:rPr>
        <w:t>o</w:t>
      </w:r>
      <w:r>
        <w:t xml:space="preserve"> et rue </w:t>
      </w:r>
      <w:r>
        <w:rPr>
          <w:i/>
        </w:rPr>
        <w:t xml:space="preserve">: </w:t>
      </w:r>
      <w:r>
        <w:rPr>
          <w:b/>
          <w:i/>
        </w:rPr>
        <w:t>Rohero I, Avenue de la JRR, n°</w:t>
      </w:r>
      <w:r w:rsidR="00F861A2">
        <w:rPr>
          <w:b/>
          <w:i/>
        </w:rPr>
        <w:t>20</w:t>
      </w:r>
    </w:p>
    <w:p w14:paraId="0A2D0F3C" w14:textId="77777777" w:rsidR="00D632FE" w:rsidRDefault="00923F00" w:rsidP="00FE6BAB">
      <w:pPr>
        <w:tabs>
          <w:tab w:val="right" w:pos="7164"/>
        </w:tabs>
      </w:pPr>
      <w:r>
        <w:t>Étage/n</w:t>
      </w:r>
      <w:r>
        <w:rPr>
          <w:vertAlign w:val="superscript"/>
        </w:rPr>
        <w:t>o</w:t>
      </w:r>
      <w:r>
        <w:t xml:space="preserve"> de bureau </w:t>
      </w:r>
      <w:r>
        <w:rPr>
          <w:i/>
        </w:rPr>
        <w:t xml:space="preserve">: </w:t>
      </w:r>
      <w:r>
        <w:rPr>
          <w:b/>
          <w:i/>
        </w:rPr>
        <w:t>5</w:t>
      </w:r>
      <w:r>
        <w:rPr>
          <w:b/>
          <w:i/>
          <w:vertAlign w:val="superscript"/>
        </w:rPr>
        <w:t>ème</w:t>
      </w:r>
      <w:r>
        <w:rPr>
          <w:b/>
          <w:i/>
        </w:rPr>
        <w:t xml:space="preserve"> niveau de l’Immeuble S&amp;N HOUSE</w:t>
      </w:r>
      <w:r>
        <w:rPr>
          <w:b/>
        </w:rPr>
        <w:t xml:space="preserve"> </w:t>
      </w:r>
    </w:p>
    <w:p w14:paraId="7DAE1821" w14:textId="4BF203B0" w:rsidR="00D632FE" w:rsidRDefault="00923F00" w:rsidP="00FE6BAB">
      <w:pPr>
        <w:tabs>
          <w:tab w:val="right" w:pos="7164"/>
        </w:tabs>
      </w:pPr>
      <w:r>
        <w:t>Ville </w:t>
      </w:r>
      <w:r>
        <w:rPr>
          <w:i/>
        </w:rPr>
        <w:t xml:space="preserve">: </w:t>
      </w:r>
      <w:r>
        <w:rPr>
          <w:b/>
          <w:i/>
        </w:rPr>
        <w:t>Bujumbura</w:t>
      </w:r>
      <w:r w:rsidR="00FE6BAB">
        <w:rPr>
          <w:b/>
          <w:i/>
        </w:rPr>
        <w:t xml:space="preserve"> - Burundi</w:t>
      </w:r>
    </w:p>
    <w:p w14:paraId="1AE0B80E" w14:textId="77777777" w:rsidR="00D632FE" w:rsidRDefault="00923F00" w:rsidP="00FE6BAB">
      <w:pPr>
        <w:tabs>
          <w:tab w:val="right" w:pos="7164"/>
        </w:tabs>
      </w:pPr>
      <w:r>
        <w:t>Boîte postale </w:t>
      </w:r>
      <w:r>
        <w:rPr>
          <w:i/>
        </w:rPr>
        <w:t xml:space="preserve">: </w:t>
      </w:r>
      <w:r>
        <w:rPr>
          <w:b/>
          <w:i/>
        </w:rPr>
        <w:t>2754 Bujumbura</w:t>
      </w:r>
      <w:r>
        <w:rPr>
          <w:b/>
        </w:rPr>
        <w:t xml:space="preserve"> </w:t>
      </w:r>
    </w:p>
    <w:p w14:paraId="6E51E01E" w14:textId="33418813" w:rsidR="00D632FE" w:rsidRDefault="00923F00" w:rsidP="00FE6BAB">
      <w:pPr>
        <w:tabs>
          <w:tab w:val="right" w:pos="7164"/>
        </w:tabs>
      </w:pPr>
      <w:r>
        <w:t>Téléphone </w:t>
      </w:r>
      <w:r>
        <w:rPr>
          <w:i/>
        </w:rPr>
        <w:t xml:space="preserve">: </w:t>
      </w:r>
      <w:r>
        <w:rPr>
          <w:b/>
          <w:i/>
        </w:rPr>
        <w:t>222874</w:t>
      </w:r>
      <w:r w:rsidR="00125FBA">
        <w:rPr>
          <w:b/>
          <w:i/>
        </w:rPr>
        <w:t>12</w:t>
      </w:r>
    </w:p>
    <w:p w14:paraId="37149B0B" w14:textId="213C8B95" w:rsidR="00D632FE" w:rsidRDefault="00923F00" w:rsidP="00FE6BAB">
      <w:pPr>
        <w:tabs>
          <w:tab w:val="right" w:pos="7254"/>
        </w:tabs>
        <w:spacing w:before="240"/>
      </w:pPr>
      <w:r>
        <w:t xml:space="preserve">Adresse électronique : </w:t>
      </w:r>
      <w:hyperlink r:id="rId11" w:history="1">
        <w:r w:rsidR="005E141B" w:rsidRPr="00C908C7">
          <w:rPr>
            <w:rStyle w:val="Lienhypertexte"/>
            <w:b/>
            <w:i/>
          </w:rPr>
          <w:t>prdaigl@gmail.com</w:t>
        </w:r>
      </w:hyperlink>
      <w:r>
        <w:rPr>
          <w:b/>
          <w:i/>
          <w:u w:val="single"/>
        </w:rPr>
        <w:t xml:space="preserve"> </w:t>
      </w:r>
    </w:p>
    <w:p w14:paraId="5E24FA8F" w14:textId="2363A8EE" w:rsidR="00D444DA" w:rsidRPr="00D444DA" w:rsidRDefault="00D444DA" w:rsidP="00FE6BAB">
      <w:pPr>
        <w:tabs>
          <w:tab w:val="left" w:pos="720"/>
        </w:tabs>
        <w:ind w:left="720"/>
        <w:jc w:val="both"/>
        <w:rPr>
          <w:b/>
          <w:bCs/>
          <w:iCs/>
          <w:color w:val="000000"/>
        </w:rPr>
      </w:pPr>
      <w:r>
        <w:rPr>
          <w:iCs/>
          <w:color w:val="000000"/>
        </w:rPr>
        <w:lastRenderedPageBreak/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F8306D">
        <w:rPr>
          <w:iCs/>
          <w:color w:val="000000"/>
        </w:rPr>
        <w:tab/>
      </w:r>
    </w:p>
    <w:sectPr w:rsidR="00D444DA" w:rsidRPr="00D444DA" w:rsidSect="00FE6BAB">
      <w:footerReference w:type="even" r:id="rId12"/>
      <w:footerReference w:type="default" r:id="rId13"/>
      <w:pgSz w:w="12240" w:h="15840"/>
      <w:pgMar w:top="142" w:right="900" w:bottom="1418" w:left="1800" w:header="720" w:footer="1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FD49F" w14:textId="77777777" w:rsidR="00BE6EC3" w:rsidRDefault="00BE6EC3">
      <w:r>
        <w:separator/>
      </w:r>
    </w:p>
  </w:endnote>
  <w:endnote w:type="continuationSeparator" w:id="0">
    <w:p w14:paraId="3205359C" w14:textId="77777777" w:rsidR="00BE6EC3" w:rsidRDefault="00BE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B3F6" w14:textId="77777777" w:rsidR="00D632FE" w:rsidRDefault="00923F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AE0CA92" w14:textId="77777777" w:rsidR="00D632FE" w:rsidRDefault="00D632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572" w14:textId="60B8803F" w:rsidR="00D632FE" w:rsidRDefault="00923F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6BAB">
      <w:rPr>
        <w:noProof/>
        <w:color w:val="000000"/>
      </w:rPr>
      <w:t>3</w:t>
    </w:r>
    <w:r>
      <w:rPr>
        <w:color w:val="000000"/>
      </w:rPr>
      <w:fldChar w:fldCharType="end"/>
    </w:r>
  </w:p>
  <w:p w14:paraId="23090C18" w14:textId="77777777" w:rsidR="00D632FE" w:rsidRDefault="00D632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10353" w14:textId="77777777" w:rsidR="00BE6EC3" w:rsidRDefault="00BE6EC3">
      <w:r>
        <w:separator/>
      </w:r>
    </w:p>
  </w:footnote>
  <w:footnote w:type="continuationSeparator" w:id="0">
    <w:p w14:paraId="7897E839" w14:textId="77777777" w:rsidR="00BE6EC3" w:rsidRDefault="00BE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82D"/>
    <w:multiLevelType w:val="multilevel"/>
    <w:tmpl w:val="A150142C"/>
    <w:lvl w:ilvl="0">
      <w:start w:val="1"/>
      <w:numFmt w:val="lowerLetter"/>
      <w:lvlText w:val="(%1)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" w15:restartNumberingAfterBreak="0">
    <w:nsid w:val="2A663673"/>
    <w:multiLevelType w:val="hybridMultilevel"/>
    <w:tmpl w:val="79C60200"/>
    <w:lvl w:ilvl="0" w:tplc="632C22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ms Rmn" w:hint="default"/>
        <w:i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64A0"/>
    <w:multiLevelType w:val="multilevel"/>
    <w:tmpl w:val="273A33AA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A1321C2"/>
    <w:multiLevelType w:val="hybridMultilevel"/>
    <w:tmpl w:val="8214D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FE"/>
    <w:rsid w:val="00125FBA"/>
    <w:rsid w:val="001E1D46"/>
    <w:rsid w:val="001F6D0F"/>
    <w:rsid w:val="00225989"/>
    <w:rsid w:val="0023333E"/>
    <w:rsid w:val="00242A20"/>
    <w:rsid w:val="00261C94"/>
    <w:rsid w:val="00553C86"/>
    <w:rsid w:val="00585205"/>
    <w:rsid w:val="00590E45"/>
    <w:rsid w:val="005E141B"/>
    <w:rsid w:val="006D295F"/>
    <w:rsid w:val="008C2B59"/>
    <w:rsid w:val="00923F00"/>
    <w:rsid w:val="009262B5"/>
    <w:rsid w:val="009357E7"/>
    <w:rsid w:val="0097737D"/>
    <w:rsid w:val="00AC2141"/>
    <w:rsid w:val="00B6733E"/>
    <w:rsid w:val="00BE6EC3"/>
    <w:rsid w:val="00C33DCA"/>
    <w:rsid w:val="00C527C1"/>
    <w:rsid w:val="00C7110C"/>
    <w:rsid w:val="00D444DA"/>
    <w:rsid w:val="00D60FBD"/>
    <w:rsid w:val="00D632FE"/>
    <w:rsid w:val="00DA5C24"/>
    <w:rsid w:val="00DE2955"/>
    <w:rsid w:val="00E64D01"/>
    <w:rsid w:val="00ED19DC"/>
    <w:rsid w:val="00F642A1"/>
    <w:rsid w:val="00F8306D"/>
    <w:rsid w:val="00F861A2"/>
    <w:rsid w:val="00FB0844"/>
    <w:rsid w:val="00FE6BAB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8E746"/>
  <w15:docId w15:val="{843D4C54-45D4-4DA8-AF37-0243C8B9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A5C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141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E141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A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A2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6BA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E6BAB"/>
  </w:style>
  <w:style w:type="paragraph" w:styleId="Pieddepage">
    <w:name w:val="footer"/>
    <w:basedOn w:val="Normal"/>
    <w:link w:val="PieddepageCar"/>
    <w:uiPriority w:val="99"/>
    <w:unhideWhenUsed/>
    <w:rsid w:val="00FE6BA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daigl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RPM</cp:lastModifiedBy>
  <cp:revision>2</cp:revision>
  <cp:lastPrinted>2024-03-21T09:30:00Z</cp:lastPrinted>
  <dcterms:created xsi:type="dcterms:W3CDTF">2024-03-22T16:14:00Z</dcterms:created>
  <dcterms:modified xsi:type="dcterms:W3CDTF">2024-03-22T16:14:00Z</dcterms:modified>
</cp:coreProperties>
</file>